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单元九  护理伦理决策的应用程序</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9"/>
        <w:gridCol w:w="2146"/>
        <w:gridCol w:w="1751"/>
        <w:gridCol w:w="590"/>
        <w:gridCol w:w="1510"/>
        <w:gridCol w:w="57"/>
        <w:gridCol w:w="3089"/>
        <w:gridCol w:w="30"/>
      </w:tblGrid>
      <w:tr w14:paraId="3D387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7EC3EBC2">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33CBB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DEEBF6"/>
            <w:vAlign w:val="center"/>
          </w:tcPr>
          <w:p w14:paraId="3956F2FE">
            <w:pPr>
              <w:spacing w:line="360" w:lineRule="auto"/>
              <w:jc w:val="both"/>
              <w:rPr>
                <w:rFonts w:ascii="仿宋" w:hAnsi="仿宋" w:eastAsia="仿宋" w:cs="仿宋"/>
                <w:b/>
                <w:bCs/>
                <w:sz w:val="28"/>
                <w:szCs w:val="28"/>
              </w:rPr>
            </w:pPr>
            <w:r>
              <w:rPr>
                <w:rFonts w:hint="eastAsia" w:ascii="仿宋" w:hAnsi="仿宋" w:eastAsia="仿宋" w:cs="仿宋"/>
                <w:b/>
                <w:bCs/>
                <w:sz w:val="28"/>
                <w:szCs w:val="28"/>
              </w:rPr>
              <w:t>课程名称</w:t>
            </w:r>
          </w:p>
        </w:tc>
        <w:tc>
          <w:tcPr>
            <w:tcW w:w="4487" w:type="dxa"/>
            <w:gridSpan w:val="3"/>
            <w:shd w:val="clear" w:color="auto" w:fill="auto"/>
            <w:vAlign w:val="center"/>
          </w:tcPr>
          <w:p w14:paraId="57B4D53C">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4F654C44">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vAlign w:val="center"/>
          </w:tcPr>
          <w:p w14:paraId="7C2BB500">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5EE3F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DEEBF6"/>
            <w:vAlign w:val="center"/>
          </w:tcPr>
          <w:p w14:paraId="29D9C3FC">
            <w:pPr>
              <w:spacing w:line="360" w:lineRule="auto"/>
              <w:jc w:val="both"/>
              <w:rPr>
                <w:rFonts w:ascii="仿宋" w:hAnsi="仿宋" w:eastAsia="仿宋" w:cs="仿宋"/>
                <w:b/>
                <w:bCs/>
                <w:sz w:val="28"/>
                <w:szCs w:val="28"/>
              </w:rPr>
            </w:pPr>
            <w:r>
              <w:rPr>
                <w:rFonts w:hint="eastAsia" w:ascii="仿宋" w:hAnsi="仿宋" w:eastAsia="仿宋" w:cs="仿宋"/>
                <w:b/>
                <w:bCs/>
                <w:sz w:val="28"/>
                <w:szCs w:val="28"/>
              </w:rPr>
              <w:t>课程类型</w:t>
            </w:r>
          </w:p>
        </w:tc>
        <w:tc>
          <w:tcPr>
            <w:tcW w:w="4487" w:type="dxa"/>
            <w:gridSpan w:val="3"/>
            <w:shd w:val="clear" w:color="auto" w:fill="auto"/>
            <w:vAlign w:val="center"/>
          </w:tcPr>
          <w:p w14:paraId="22406B52">
            <w:pPr>
              <w:spacing w:line="360" w:lineRule="auto"/>
              <w:jc w:val="both"/>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1C61FB4A">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vAlign w:val="center"/>
          </w:tcPr>
          <w:p w14:paraId="75F1F8D5">
            <w:pPr>
              <w:spacing w:line="360" w:lineRule="auto"/>
              <w:jc w:val="both"/>
              <w:rPr>
                <w:rFonts w:ascii="仿宋" w:hAnsi="仿宋" w:eastAsia="仿宋" w:cs="仿宋"/>
                <w:b/>
                <w:bCs/>
                <w:sz w:val="28"/>
                <w:szCs w:val="28"/>
              </w:rPr>
            </w:pPr>
            <w:r>
              <w:rPr>
                <w:rFonts w:ascii="仿宋" w:hAnsi="仿宋" w:eastAsia="仿宋" w:cs="仿宋"/>
                <w:b/>
                <w:bCs/>
                <w:sz w:val="28"/>
                <w:szCs w:val="28"/>
                <w:highlight w:val="yellow"/>
              </w:rPr>
              <w:t>2</w:t>
            </w:r>
            <w:r>
              <w:rPr>
                <w:rFonts w:hint="eastAsia" w:ascii="仿宋" w:hAnsi="仿宋" w:eastAsia="仿宋" w:cs="仿宋"/>
                <w:b/>
                <w:bCs/>
                <w:sz w:val="28"/>
                <w:szCs w:val="28"/>
                <w:highlight w:val="yellow"/>
              </w:rPr>
              <w:t>学时（</w:t>
            </w:r>
            <w:r>
              <w:rPr>
                <w:rFonts w:ascii="仿宋" w:hAnsi="仿宋" w:eastAsia="仿宋" w:cs="仿宋"/>
                <w:b/>
                <w:bCs/>
                <w:sz w:val="28"/>
                <w:szCs w:val="28"/>
                <w:highlight w:val="yellow"/>
              </w:rPr>
              <w:t>90</w:t>
            </w:r>
            <w:r>
              <w:rPr>
                <w:rFonts w:hint="eastAsia" w:ascii="仿宋" w:hAnsi="仿宋" w:eastAsia="仿宋" w:cs="仿宋"/>
                <w:b/>
                <w:bCs/>
                <w:sz w:val="28"/>
                <w:szCs w:val="28"/>
                <w:highlight w:val="yellow"/>
              </w:rPr>
              <w:t>分钟）</w:t>
            </w:r>
          </w:p>
        </w:tc>
      </w:tr>
      <w:tr w14:paraId="5CB76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DEEBF6"/>
            <w:vAlign w:val="center"/>
          </w:tcPr>
          <w:p w14:paraId="69A15CF2">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授课内容</w:t>
            </w:r>
          </w:p>
        </w:tc>
        <w:tc>
          <w:tcPr>
            <w:tcW w:w="4487" w:type="dxa"/>
            <w:gridSpan w:val="3"/>
            <w:shd w:val="clear" w:color="auto" w:fill="auto"/>
            <w:vAlign w:val="center"/>
          </w:tcPr>
          <w:p w14:paraId="6E77A8D9">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任务一 护理伦理决策概述</w:t>
            </w:r>
          </w:p>
          <w:p w14:paraId="2287DB1C">
            <w:pPr>
              <w:spacing w:line="360" w:lineRule="auto"/>
              <w:jc w:val="both"/>
              <w:rPr>
                <w:rFonts w:ascii="仿宋" w:hAnsi="仿宋" w:eastAsia="仿宋" w:cs="仿宋"/>
                <w:b/>
                <w:bCs/>
                <w:sz w:val="18"/>
                <w:szCs w:val="18"/>
              </w:rPr>
            </w:pPr>
            <w:r>
              <w:rPr>
                <w:rFonts w:hint="eastAsia" w:ascii="仿宋" w:hAnsi="仿宋" w:eastAsia="仿宋" w:cs="仿宋"/>
                <w:b/>
                <w:bCs/>
                <w:sz w:val="24"/>
                <w:szCs w:val="24"/>
              </w:rPr>
              <w:t>任务二 护理伦理决策过程</w:t>
            </w:r>
          </w:p>
        </w:tc>
        <w:tc>
          <w:tcPr>
            <w:tcW w:w="1510" w:type="dxa"/>
            <w:shd w:val="clear" w:color="auto" w:fill="DEEBF6"/>
            <w:vAlign w:val="center"/>
          </w:tcPr>
          <w:p w14:paraId="50ED9876">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vAlign w:val="center"/>
          </w:tcPr>
          <w:p w14:paraId="45FED829">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14317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0341F3C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11694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489FC7F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34C72D4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5821529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558FD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tcPr>
          <w:p w14:paraId="6FFE3460">
            <w:pPr>
              <w:spacing w:line="360" w:lineRule="auto"/>
              <w:rPr>
                <w:rFonts w:ascii="仿宋" w:hAnsi="仿宋" w:eastAsia="仿宋" w:cs="仿宋"/>
                <w:sz w:val="24"/>
              </w:rPr>
            </w:pPr>
            <w:r>
              <w:rPr>
                <w:rFonts w:hint="eastAsia" w:ascii="仿宋" w:hAnsi="仿宋" w:eastAsia="仿宋" w:cs="仿宋"/>
                <w:sz w:val="24"/>
              </w:rPr>
              <w:t>1.了解护理伦理决策的概述。</w:t>
            </w:r>
          </w:p>
          <w:p w14:paraId="062C2F07">
            <w:pPr>
              <w:spacing w:line="360" w:lineRule="auto"/>
              <w:rPr>
                <w:rFonts w:ascii="仿宋" w:hAnsi="仿宋" w:eastAsia="仿宋" w:cs="仿宋"/>
                <w:sz w:val="24"/>
              </w:rPr>
            </w:pPr>
            <w:r>
              <w:rPr>
                <w:rFonts w:hint="eastAsia" w:ascii="仿宋" w:hAnsi="仿宋" w:eastAsia="仿宋" w:cs="仿宋"/>
                <w:sz w:val="24"/>
              </w:rPr>
              <w:t>2.熟悉护理伦理决策的含义及难题。</w:t>
            </w:r>
          </w:p>
          <w:p w14:paraId="71EE3346">
            <w:pPr>
              <w:spacing w:line="360" w:lineRule="auto"/>
              <w:rPr>
                <w:rFonts w:ascii="仿宋" w:hAnsi="仿宋" w:eastAsia="仿宋" w:cs="仿宋"/>
                <w:sz w:val="24"/>
                <w:highlight w:val="red"/>
              </w:rPr>
            </w:pPr>
            <w:r>
              <w:rPr>
                <w:rFonts w:hint="eastAsia" w:ascii="仿宋" w:hAnsi="仿宋" w:eastAsia="仿宋" w:cs="仿宋"/>
                <w:sz w:val="24"/>
              </w:rPr>
              <w:t>3.掌握护理伦理决策的程序及注意事项。</w:t>
            </w:r>
          </w:p>
        </w:tc>
        <w:tc>
          <w:tcPr>
            <w:tcW w:w="3908" w:type="dxa"/>
            <w:gridSpan w:val="4"/>
          </w:tcPr>
          <w:p w14:paraId="131A4364">
            <w:pPr>
              <w:spacing w:line="360" w:lineRule="auto"/>
              <w:rPr>
                <w:rFonts w:ascii="仿宋" w:hAnsi="仿宋" w:eastAsia="仿宋" w:cs="仿宋"/>
                <w:sz w:val="24"/>
              </w:rPr>
            </w:pPr>
            <w:r>
              <w:rPr>
                <w:rFonts w:hint="eastAsia" w:ascii="仿宋" w:hAnsi="仿宋" w:eastAsia="仿宋" w:cs="仿宋"/>
                <w:sz w:val="24"/>
              </w:rPr>
              <w:t>1.学会护理伦理决策的程序</w:t>
            </w:r>
          </w:p>
          <w:p w14:paraId="345125EB">
            <w:pPr>
              <w:spacing w:line="360" w:lineRule="auto"/>
              <w:rPr>
                <w:rFonts w:ascii="仿宋" w:hAnsi="仿宋" w:eastAsia="仿宋" w:cs="仿宋"/>
                <w:sz w:val="24"/>
                <w:highlight w:val="red"/>
              </w:rPr>
            </w:pPr>
            <w:r>
              <w:rPr>
                <w:rFonts w:hint="eastAsia" w:ascii="仿宋" w:hAnsi="仿宋" w:eastAsia="仿宋" w:cs="仿宋"/>
                <w:sz w:val="24"/>
              </w:rPr>
              <w:t>2.会利用护理伦理决策的程序解决伦理上的一般问题。</w:t>
            </w:r>
          </w:p>
          <w:p w14:paraId="28286C2F">
            <w:pPr>
              <w:spacing w:line="360" w:lineRule="auto"/>
              <w:rPr>
                <w:rFonts w:ascii="仿宋" w:hAnsi="仿宋" w:eastAsia="仿宋" w:cs="仿宋"/>
                <w:sz w:val="24"/>
                <w:highlight w:val="red"/>
              </w:rPr>
            </w:pPr>
          </w:p>
        </w:tc>
        <w:tc>
          <w:tcPr>
            <w:tcW w:w="3119" w:type="dxa"/>
            <w:gridSpan w:val="2"/>
          </w:tcPr>
          <w:p w14:paraId="55310B6B">
            <w:pPr>
              <w:spacing w:line="360" w:lineRule="auto"/>
              <w:rPr>
                <w:rFonts w:ascii="仿宋" w:hAnsi="仿宋" w:eastAsia="仿宋" w:cs="仿宋"/>
                <w:sz w:val="24"/>
                <w:highlight w:val="red"/>
              </w:rPr>
            </w:pPr>
            <w:r>
              <w:rPr>
                <w:rFonts w:hint="eastAsia" w:ascii="仿宋" w:hAnsi="仿宋" w:eastAsia="仿宋" w:cs="仿宋"/>
                <w:sz w:val="24"/>
              </w:rPr>
              <w:t>具备较强的医学伦理决策能力。</w:t>
            </w:r>
          </w:p>
        </w:tc>
      </w:tr>
      <w:tr w14:paraId="5BBF5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0AD3004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31784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55CCF21C">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了护理学相关的理论知识，学习了前八个单元的知识，知道了护理伦理学的概述、理论基础和规范体系、护理人际关系伦理、整体护理伦理、临床护理伦理、社区卫生保健与康复护理伦理、生命伦理护理、护理科研中的伦理分析。对护理伦理学的理论基础以及运用伦理学知识解决问题的能力有所提升，需进一步的加强对护理伦理决策相应内容的学习。课前进行问卷调研，大部分同学对已学护理伦理学知识掌握程度好，会运用所学伦理知识分析问题，但对于护理伦理决策的应用程序了解较少。 </w:t>
            </w:r>
          </w:p>
          <w:p w14:paraId="3270EE72">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应加强护理伦理决策的应用程序的讲解，培养学会运用护理伦理决策。</w:t>
            </w:r>
          </w:p>
        </w:tc>
      </w:tr>
      <w:tr w14:paraId="2DF1B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6F9B2545">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6D4E6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2DF363F4">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3BBC5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736318D4">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31B11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44B0120C">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0E58E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72AA67B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3039F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041EE03C">
            <w:pPr>
              <w:spacing w:line="360" w:lineRule="auto"/>
              <w:ind w:firstLine="480" w:firstLineChars="200"/>
              <w:rPr>
                <w:rFonts w:ascii="仿宋" w:hAnsi="仿宋" w:eastAsia="仿宋" w:cs="仿宋"/>
                <w:sz w:val="24"/>
              </w:rPr>
            </w:pPr>
            <w:r>
              <w:rPr>
                <w:rFonts w:hint="eastAsia" w:ascii="仿宋" w:hAnsi="仿宋" w:eastAsia="仿宋" w:cs="仿宋"/>
                <w:sz w:val="24"/>
              </w:rPr>
              <w:t>知识回顾                         3min</w:t>
            </w:r>
          </w:p>
          <w:p w14:paraId="2F8D0882">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508C2B3B">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2C6365A1">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护理伦理决策概述 </w:t>
            </w:r>
            <w:r>
              <w:rPr>
                <w:rFonts w:ascii="仿宋" w:hAnsi="仿宋" w:eastAsia="仿宋" w:cs="仿宋"/>
                <w:sz w:val="24"/>
              </w:rPr>
              <w:t xml:space="preserve">           </w:t>
            </w:r>
            <w:r>
              <w:rPr>
                <w:rFonts w:hint="eastAsia" w:ascii="仿宋" w:hAnsi="仿宋" w:eastAsia="仿宋" w:cs="仿宋"/>
                <w:sz w:val="24"/>
              </w:rPr>
              <w:t xml:space="preserve">     </w:t>
            </w:r>
            <w:r>
              <w:rPr>
                <w:rFonts w:ascii="仿宋" w:hAnsi="仿宋" w:eastAsia="仿宋" w:cs="仿宋"/>
                <w:sz w:val="24"/>
              </w:rPr>
              <w:t>30</w:t>
            </w:r>
            <w:r>
              <w:rPr>
                <w:rFonts w:hint="eastAsia" w:ascii="仿宋" w:hAnsi="仿宋" w:eastAsia="仿宋" w:cs="仿宋"/>
                <w:sz w:val="24"/>
              </w:rPr>
              <w:t>min</w:t>
            </w:r>
          </w:p>
          <w:p w14:paraId="08B024AD">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护理伦理决策过程                 </w:t>
            </w:r>
            <w:r>
              <w:rPr>
                <w:rFonts w:ascii="仿宋" w:hAnsi="仿宋" w:eastAsia="仿宋" w:cs="仿宋"/>
                <w:sz w:val="24"/>
              </w:rPr>
              <w:t>48</w:t>
            </w:r>
            <w:r>
              <w:rPr>
                <w:rFonts w:hint="eastAsia" w:ascii="仿宋" w:hAnsi="仿宋" w:eastAsia="仿宋" w:cs="仿宋"/>
                <w:sz w:val="24"/>
              </w:rPr>
              <w:t>min</w:t>
            </w:r>
          </w:p>
          <w:p w14:paraId="687BC6E7">
            <w:pPr>
              <w:spacing w:line="360" w:lineRule="auto"/>
              <w:ind w:firstLine="480" w:firstLineChars="200"/>
              <w:rPr>
                <w:rFonts w:ascii="仿宋" w:hAnsi="仿宋" w:eastAsia="仿宋" w:cs="仿宋"/>
                <w:sz w:val="24"/>
              </w:rPr>
            </w:pPr>
            <w:r>
              <w:rPr>
                <w:rFonts w:hint="eastAsia" w:ascii="仿宋" w:hAnsi="仿宋" w:eastAsia="仿宋" w:cs="仿宋"/>
                <w:sz w:val="24"/>
              </w:rPr>
              <w:t>总结                             3min</w:t>
            </w:r>
          </w:p>
          <w:p w14:paraId="6F8A85C0">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25101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3BCF4B9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1A936ED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307A8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center"/>
          </w:tcPr>
          <w:p w14:paraId="243D1578">
            <w:pPr>
              <w:spacing w:line="360" w:lineRule="auto"/>
              <w:rPr>
                <w:rFonts w:ascii="仿宋" w:hAnsi="仿宋" w:eastAsia="仿宋" w:cs="仿宋"/>
                <w:sz w:val="24"/>
              </w:rPr>
            </w:pPr>
            <w:r>
              <w:rPr>
                <w:rFonts w:hint="eastAsia" w:ascii="仿宋" w:hAnsi="仿宋" w:eastAsia="仿宋" w:cs="仿宋"/>
                <w:sz w:val="24"/>
              </w:rPr>
              <w:t>1.护理伦理决策程序</w:t>
            </w:r>
          </w:p>
          <w:p w14:paraId="566D5F21">
            <w:pPr>
              <w:spacing w:line="360" w:lineRule="auto"/>
              <w:rPr>
                <w:rFonts w:ascii="仿宋" w:hAnsi="仿宋" w:eastAsia="仿宋" w:cs="仿宋"/>
                <w:sz w:val="24"/>
              </w:rPr>
            </w:pPr>
            <w:r>
              <w:rPr>
                <w:rFonts w:hint="eastAsia" w:ascii="仿宋" w:hAnsi="仿宋" w:eastAsia="仿宋" w:cs="仿宋"/>
                <w:sz w:val="24"/>
              </w:rPr>
              <w:t>对策：</w:t>
            </w:r>
          </w:p>
          <w:p w14:paraId="3CE75A38">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问卷调研分析学情，对护理伦理决策程序的了解不足；在职教云上传相关微课。</w:t>
            </w:r>
          </w:p>
          <w:p w14:paraId="127CD908">
            <w:pPr>
              <w:spacing w:line="360" w:lineRule="auto"/>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5A9ED4B5">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center"/>
          </w:tcPr>
          <w:p w14:paraId="42953B43">
            <w:pPr>
              <w:spacing w:line="360" w:lineRule="auto"/>
              <w:rPr>
                <w:rFonts w:ascii="仿宋" w:hAnsi="仿宋" w:eastAsia="仿宋" w:cs="仿宋"/>
                <w:sz w:val="24"/>
              </w:rPr>
            </w:pPr>
            <w:r>
              <w:rPr>
                <w:rFonts w:hint="eastAsia" w:ascii="仿宋" w:hAnsi="仿宋" w:eastAsia="仿宋" w:cs="仿宋"/>
                <w:sz w:val="24"/>
              </w:rPr>
              <w:t>1. 护理伦理决策注意事项</w:t>
            </w:r>
          </w:p>
          <w:p w14:paraId="29917CDB">
            <w:pPr>
              <w:spacing w:line="360" w:lineRule="auto"/>
              <w:rPr>
                <w:rFonts w:ascii="仿宋" w:hAnsi="仿宋" w:eastAsia="仿宋" w:cs="仿宋"/>
                <w:sz w:val="24"/>
              </w:rPr>
            </w:pPr>
            <w:r>
              <w:rPr>
                <w:rFonts w:hint="eastAsia" w:ascii="仿宋" w:hAnsi="仿宋" w:eastAsia="仿宋" w:cs="仿宋"/>
                <w:sz w:val="24"/>
              </w:rPr>
              <w:t>对策：</w:t>
            </w:r>
          </w:p>
          <w:p w14:paraId="4D6F93CC">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4C85D72E">
            <w:pPr>
              <w:spacing w:line="360" w:lineRule="auto"/>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459CEE9B">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462EA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715B0D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64EEC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07960C8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226A594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39387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36A5585D">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1550" cy="1320800"/>
                  <wp:effectExtent l="0" t="0" r="0" b="12700"/>
                  <wp:docPr id="89" name="图片 57"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7" descr="847b241cda15149b93766219ff89d70"/>
                          <pic:cNvPicPr>
                            <a:picLocks noChangeAspect="1"/>
                          </pic:cNvPicPr>
                        </pic:nvPicPr>
                        <pic:blipFill>
                          <a:blip r:embed="rId7"/>
                          <a:stretch>
                            <a:fillRect/>
                          </a:stretch>
                        </pic:blipFill>
                        <pic:spPr>
                          <a:xfrm>
                            <a:off x="0" y="0"/>
                            <a:ext cx="971550" cy="13208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52500" cy="1289050"/>
                  <wp:effectExtent l="0" t="0" r="0" b="6350"/>
                  <wp:docPr id="91" name="图片 58"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8" descr="1629788608(1)"/>
                          <pic:cNvPicPr>
                            <a:picLocks noChangeAspect="1"/>
                          </pic:cNvPicPr>
                        </pic:nvPicPr>
                        <pic:blipFill>
                          <a:blip r:embed="rId8"/>
                          <a:stretch>
                            <a:fillRect/>
                          </a:stretch>
                        </pic:blipFill>
                        <pic:spPr>
                          <a:xfrm>
                            <a:off x="0" y="0"/>
                            <a:ext cx="952500" cy="1289050"/>
                          </a:xfrm>
                          <a:prstGeom prst="rect">
                            <a:avLst/>
                          </a:prstGeom>
                          <a:noFill/>
                          <a:ln>
                            <a:noFill/>
                          </a:ln>
                        </pic:spPr>
                      </pic:pic>
                    </a:graphicData>
                  </a:graphic>
                </wp:inline>
              </w:drawing>
            </w:r>
          </w:p>
          <w:p w14:paraId="003BCB4B">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69950" cy="1301750"/>
                  <wp:effectExtent l="0" t="0" r="6350" b="12700"/>
                  <wp:docPr id="86" name="图片 59"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9" descr="1629788927(1)"/>
                          <pic:cNvPicPr>
                            <a:picLocks noChangeAspect="1"/>
                          </pic:cNvPicPr>
                        </pic:nvPicPr>
                        <pic:blipFill>
                          <a:blip r:embed="rId9"/>
                          <a:stretch>
                            <a:fillRect/>
                          </a:stretch>
                        </pic:blipFill>
                        <pic:spPr>
                          <a:xfrm>
                            <a:off x="0" y="0"/>
                            <a:ext cx="869950" cy="130175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76300" cy="1238250"/>
                  <wp:effectExtent l="0" t="0" r="0" b="0"/>
                  <wp:docPr id="90" name="图片 60"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0" descr="1629798548(1)"/>
                          <pic:cNvPicPr>
                            <a:picLocks noChangeAspect="1"/>
                          </pic:cNvPicPr>
                        </pic:nvPicPr>
                        <pic:blipFill>
                          <a:blip r:embed="rId10"/>
                          <a:stretch>
                            <a:fillRect/>
                          </a:stretch>
                        </pic:blipFill>
                        <pic:spPr>
                          <a:xfrm>
                            <a:off x="0" y="0"/>
                            <a:ext cx="876300" cy="1238250"/>
                          </a:xfrm>
                          <a:prstGeom prst="rect">
                            <a:avLst/>
                          </a:prstGeom>
                          <a:noFill/>
                          <a:ln>
                            <a:noFill/>
                          </a:ln>
                        </pic:spPr>
                      </pic:pic>
                    </a:graphicData>
                  </a:graphic>
                </wp:inline>
              </w:drawing>
            </w:r>
          </w:p>
        </w:tc>
        <w:tc>
          <w:tcPr>
            <w:tcW w:w="5246" w:type="dxa"/>
            <w:gridSpan w:val="4"/>
          </w:tcPr>
          <w:p w14:paraId="10F2B81E">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117600" cy="863600"/>
                  <wp:effectExtent l="0" t="0" r="6350" b="12700"/>
                  <wp:docPr id="85" name="图片 61"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1"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762000" cy="762000"/>
                  <wp:effectExtent l="0" t="0" r="0" b="0"/>
                  <wp:docPr id="87" name="图片 62"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2"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4A8E0F65">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46F17C40">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2338705" cy="1000760"/>
                  <wp:effectExtent l="0" t="0" r="0" b="0"/>
                  <wp:docPr id="88" name="图片 63"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3" descr="1620189844(1)"/>
                          <pic:cNvPicPr>
                            <a:picLocks noChangeAspect="1"/>
                          </pic:cNvPicPr>
                        </pic:nvPicPr>
                        <pic:blipFill>
                          <a:blip r:embed="rId13"/>
                          <a:srcRect r="219" b="-462"/>
                          <a:stretch>
                            <a:fillRect/>
                          </a:stretch>
                        </pic:blipFill>
                        <pic:spPr>
                          <a:xfrm>
                            <a:off x="0" y="0"/>
                            <a:ext cx="2338705" cy="1000760"/>
                          </a:xfrm>
                          <a:prstGeom prst="rect">
                            <a:avLst/>
                          </a:prstGeom>
                          <a:noFill/>
                          <a:ln>
                            <a:noFill/>
                          </a:ln>
                        </pic:spPr>
                      </pic:pic>
                    </a:graphicData>
                  </a:graphic>
                </wp:inline>
              </w:drawing>
            </w:r>
          </w:p>
        </w:tc>
      </w:tr>
    </w:tbl>
    <w:p w14:paraId="4AF7476F">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2808"/>
        <w:gridCol w:w="2580"/>
        <w:gridCol w:w="3383"/>
      </w:tblGrid>
      <w:tr w14:paraId="6A49F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508A722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1228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vAlign w:val="top"/>
          </w:tcPr>
          <w:p w14:paraId="32AF291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教学内容</w:t>
            </w:r>
          </w:p>
        </w:tc>
        <w:tc>
          <w:tcPr>
            <w:tcW w:w="2808" w:type="dxa"/>
            <w:shd w:val="clear" w:color="auto" w:fill="DEEBF6"/>
            <w:vAlign w:val="top"/>
          </w:tcPr>
          <w:p w14:paraId="04C9677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580" w:type="dxa"/>
            <w:shd w:val="clear" w:color="auto" w:fill="DEEBF6"/>
            <w:vAlign w:val="top"/>
          </w:tcPr>
          <w:p w14:paraId="3D93654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383" w:type="dxa"/>
            <w:shd w:val="clear" w:color="auto" w:fill="DEEBF6"/>
            <w:vAlign w:val="top"/>
          </w:tcPr>
          <w:p w14:paraId="5AA1F45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tr w14:paraId="47320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A8B5988">
            <w:pPr>
              <w:spacing w:line="360" w:lineRule="auto"/>
              <w:rPr>
                <w:rFonts w:ascii="仿宋" w:hAnsi="仿宋" w:eastAsia="仿宋" w:cs="仿宋"/>
                <w:sz w:val="24"/>
              </w:rPr>
            </w:pPr>
            <w:r>
              <w:rPr>
                <w:rFonts w:hint="eastAsia" w:ascii="仿宋" w:hAnsi="仿宋" w:eastAsia="仿宋" w:cs="仿宋"/>
                <w:sz w:val="24"/>
              </w:rPr>
              <w:t>护理伦理学</w:t>
            </w:r>
          </w:p>
          <w:p w14:paraId="0EF67BDE">
            <w:pPr>
              <w:spacing w:line="360" w:lineRule="auto"/>
              <w:ind w:firstLine="240" w:firstLineChars="100"/>
              <w:rPr>
                <w:rFonts w:ascii="仿宋" w:hAnsi="仿宋" w:eastAsia="仿宋" w:cs="仿宋"/>
                <w:sz w:val="24"/>
              </w:rPr>
            </w:pPr>
            <w:r>
              <w:rPr>
                <w:rFonts w:hint="eastAsia" w:ascii="仿宋" w:hAnsi="仿宋" w:eastAsia="仿宋" w:cs="仿宋"/>
                <w:sz w:val="24"/>
              </w:rPr>
              <w:t>--护理伦理决策的应用程序</w:t>
            </w:r>
          </w:p>
          <w:p w14:paraId="20FAB5BD">
            <w:pPr>
              <w:spacing w:line="360" w:lineRule="auto"/>
              <w:ind w:firstLine="240" w:firstLineChars="100"/>
              <w:rPr>
                <w:rFonts w:ascii="仿宋" w:hAnsi="仿宋" w:eastAsia="仿宋" w:cs="仿宋"/>
                <w:sz w:val="24"/>
              </w:rPr>
            </w:pPr>
          </w:p>
        </w:tc>
        <w:tc>
          <w:tcPr>
            <w:tcW w:w="2808" w:type="dxa"/>
            <w:vAlign w:val="top"/>
          </w:tcPr>
          <w:p w14:paraId="18870DAE">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 xml:space="preserve">课前发布《护理伦理决策的应用程序》问卷，分析收集问卷内容，为新课讲授做准备。 </w:t>
            </w:r>
          </w:p>
          <w:p w14:paraId="102496C5">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580" w:type="dxa"/>
            <w:vAlign w:val="top"/>
          </w:tcPr>
          <w:p w14:paraId="66B8ACC6">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55C92462">
            <w:pPr>
              <w:spacing w:line="360" w:lineRule="auto"/>
              <w:rPr>
                <w:rFonts w:ascii="仿宋" w:hAnsi="仿宋" w:eastAsia="仿宋" w:cs="仿宋"/>
                <w:sz w:val="24"/>
              </w:rPr>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571500" cy="571500"/>
                  <wp:effectExtent l="0" t="0" r="0" b="0"/>
                  <wp:docPr id="93" name="图片 64"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4" descr="研究设计课前调查"/>
                          <pic:cNvPicPr>
                            <a:picLocks noChangeAspect="1"/>
                          </pic:cNvPicPr>
                        </pic:nvPicPr>
                        <pic:blipFill>
                          <a:blip r:embed="rId14"/>
                          <a:stretch>
                            <a:fillRect/>
                          </a:stretch>
                        </pic:blipFill>
                        <pic:spPr>
                          <a:xfrm>
                            <a:off x="0" y="0"/>
                            <a:ext cx="571500" cy="571500"/>
                          </a:xfrm>
                          <a:prstGeom prst="rect">
                            <a:avLst/>
                          </a:prstGeom>
                          <a:noFill/>
                          <a:ln>
                            <a:noFill/>
                          </a:ln>
                        </pic:spPr>
                      </pic:pic>
                    </a:graphicData>
                  </a:graphic>
                </wp:inline>
              </w:drawing>
            </w:r>
            <w:r>
              <w:rPr>
                <w:rFonts w:hint="eastAsia" w:ascii="仿宋" w:hAnsi="仿宋" w:eastAsia="仿宋" w:cs="仿宋"/>
                <w:sz w:val="24"/>
              </w:rPr>
              <w:t xml:space="preserve">  </w:t>
            </w:r>
          </w:p>
          <w:p w14:paraId="45037B09">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383" w:type="dxa"/>
            <w:vAlign w:val="top"/>
          </w:tcPr>
          <w:p w14:paraId="3193EA21">
            <w:pPr>
              <w:spacing w:line="360" w:lineRule="auto"/>
              <w:ind w:firstLine="240" w:firstLineChars="100"/>
              <w:rPr>
                <w:rFonts w:ascii="仿宋" w:hAnsi="仿宋" w:eastAsia="仿宋" w:cs="仿宋"/>
                <w:sz w:val="24"/>
              </w:rPr>
            </w:pPr>
            <w:r>
              <w:rPr>
                <w:rFonts w:hint="eastAsia" w:ascii="仿宋" w:hAnsi="仿宋" w:eastAsia="仿宋" w:cs="仿宋"/>
                <w:sz w:val="24"/>
              </w:rPr>
              <w:t>1.了解学生对前期课程重点内容的把握及护理伦理决策程序的知识水平，为有效教学做准备。</w:t>
            </w:r>
          </w:p>
          <w:p w14:paraId="1289B002">
            <w:pPr>
              <w:spacing w:line="360" w:lineRule="auto"/>
              <w:ind w:firstLine="240" w:firstLineChars="100"/>
              <w:rPr>
                <w:rFonts w:ascii="仿宋" w:hAnsi="仿宋" w:eastAsia="仿宋" w:cs="仿宋"/>
                <w:sz w:val="24"/>
              </w:rPr>
            </w:pPr>
            <w:r>
              <w:rPr>
                <w:rFonts w:hint="eastAsia" w:ascii="仿宋" w:hAnsi="仿宋" w:eastAsia="仿宋" w:cs="仿宋"/>
                <w:sz w:val="24"/>
              </w:rPr>
              <w:t>2. 护理伦理决策的应用程序，学生可提前预习，有助于课上内容的消化</w:t>
            </w:r>
          </w:p>
        </w:tc>
      </w:tr>
      <w:tr w14:paraId="50C33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4B00BD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36A6D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6B16CFEA">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808" w:type="dxa"/>
            <w:shd w:val="clear" w:color="auto" w:fill="DEEAF6"/>
            <w:vAlign w:val="top"/>
          </w:tcPr>
          <w:p w14:paraId="65332D81">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580" w:type="dxa"/>
            <w:shd w:val="clear" w:color="auto" w:fill="DEEAF6"/>
            <w:vAlign w:val="top"/>
          </w:tcPr>
          <w:p w14:paraId="7765A479">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383" w:type="dxa"/>
            <w:shd w:val="clear" w:color="auto" w:fill="DEEAF6"/>
            <w:vAlign w:val="top"/>
          </w:tcPr>
          <w:p w14:paraId="1163A468">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1F90B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vAlign w:val="top"/>
          </w:tcPr>
          <w:p w14:paraId="39078FB8">
            <w:pPr>
              <w:spacing w:line="360" w:lineRule="auto"/>
              <w:rPr>
                <w:rFonts w:ascii="仿宋" w:hAnsi="仿宋" w:eastAsia="仿宋" w:cs="仿宋"/>
                <w:sz w:val="24"/>
              </w:rPr>
            </w:pPr>
            <w:r>
              <w:rPr>
                <w:rFonts w:hint="eastAsia" w:ascii="仿宋" w:hAnsi="仿宋" w:eastAsia="仿宋" w:cs="仿宋"/>
                <w:sz w:val="24"/>
              </w:rPr>
              <w:t>知识回顾</w:t>
            </w:r>
          </w:p>
          <w:p w14:paraId="72216620">
            <w:pPr>
              <w:spacing w:line="360" w:lineRule="auto"/>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914400" cy="920750"/>
                  <wp:effectExtent l="0" t="0" r="0" b="12700"/>
                  <wp:docPr id="92" name="图片 65" descr="1629902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5" descr="1629902327(1)"/>
                          <pic:cNvPicPr>
                            <a:picLocks noChangeAspect="1"/>
                          </pic:cNvPicPr>
                        </pic:nvPicPr>
                        <pic:blipFill>
                          <a:blip r:embed="rId15"/>
                          <a:stretch>
                            <a:fillRect/>
                          </a:stretch>
                        </pic:blipFill>
                        <pic:spPr>
                          <a:xfrm>
                            <a:off x="0" y="0"/>
                            <a:ext cx="914400" cy="920750"/>
                          </a:xfrm>
                          <a:prstGeom prst="rect">
                            <a:avLst/>
                          </a:prstGeom>
                          <a:noFill/>
                          <a:ln>
                            <a:noFill/>
                          </a:ln>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808" w:type="dxa"/>
            <w:shd w:val="clear" w:color="auto" w:fill="auto"/>
            <w:vAlign w:val="top"/>
          </w:tcPr>
          <w:p w14:paraId="0657C321">
            <w:pPr>
              <w:spacing w:line="360" w:lineRule="auto"/>
              <w:jc w:val="left"/>
              <w:rPr>
                <w:rFonts w:ascii="仿宋" w:hAnsi="仿宋" w:eastAsia="仿宋" w:cs="仿宋"/>
                <w:sz w:val="24"/>
              </w:rPr>
            </w:pPr>
            <w:r>
              <w:rPr>
                <w:rFonts w:hint="eastAsia" w:ascii="仿宋" w:hAnsi="仿宋" w:eastAsia="仿宋" w:cs="仿宋"/>
                <w:sz w:val="24"/>
              </w:rPr>
              <w:t>1.思维导图呈现前八章知识框架</w:t>
            </w:r>
          </w:p>
          <w:p w14:paraId="6FE572DF">
            <w:pPr>
              <w:spacing w:line="360" w:lineRule="auto"/>
              <w:jc w:val="left"/>
              <w:rPr>
                <w:rFonts w:ascii="仿宋" w:hAnsi="仿宋" w:eastAsia="仿宋" w:cs="仿宋"/>
                <w:sz w:val="24"/>
              </w:rPr>
            </w:pPr>
            <w:r>
              <w:rPr>
                <w:rFonts w:hint="eastAsia" w:ascii="仿宋" w:hAnsi="仿宋" w:eastAsia="仿宋" w:cs="仿宋"/>
                <w:sz w:val="24"/>
              </w:rPr>
              <w:t>2.回顾前八章重要内容</w:t>
            </w:r>
          </w:p>
          <w:p w14:paraId="5074C375">
            <w:pPr>
              <w:spacing w:line="360" w:lineRule="auto"/>
              <w:jc w:val="left"/>
              <w:rPr>
                <w:rFonts w:ascii="仿宋" w:hAnsi="仿宋" w:eastAsia="仿宋" w:cs="仿宋"/>
                <w:sz w:val="24"/>
              </w:rPr>
            </w:pPr>
          </w:p>
        </w:tc>
        <w:tc>
          <w:tcPr>
            <w:tcW w:w="2580" w:type="dxa"/>
            <w:shd w:val="clear" w:color="auto" w:fill="FFFFFF"/>
            <w:vAlign w:val="top"/>
          </w:tcPr>
          <w:p w14:paraId="2A7B2F74">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结合思维导图回顾前期学习相关内容</w:t>
            </w:r>
          </w:p>
          <w:p w14:paraId="52D847B6">
            <w:pPr>
              <w:spacing w:line="360" w:lineRule="auto"/>
              <w:jc w:val="left"/>
              <w:rPr>
                <w:rFonts w:ascii="仿宋" w:hAnsi="仿宋" w:eastAsia="仿宋" w:cs="仿宋"/>
                <w:sz w:val="24"/>
              </w:rPr>
            </w:pPr>
          </w:p>
        </w:tc>
        <w:tc>
          <w:tcPr>
            <w:tcW w:w="3383" w:type="dxa"/>
            <w:vAlign w:val="top"/>
          </w:tcPr>
          <w:p w14:paraId="4E43F166">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5900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F117AD6">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2CA22BD3">
            <w:pPr>
              <w:spacing w:line="360" w:lineRule="auto"/>
              <w:jc w:val="left"/>
              <w:rPr>
                <w:rFonts w:ascii="仿宋" w:hAnsi="仿宋" w:eastAsia="仿宋" w:cs="仿宋"/>
                <w:sz w:val="24"/>
              </w:rPr>
            </w:pPr>
          </w:p>
          <w:p w14:paraId="64780D73">
            <w:pPr>
              <w:spacing w:line="360" w:lineRule="auto"/>
              <w:jc w:val="left"/>
              <w:rPr>
                <w:rFonts w:ascii="仿宋" w:hAnsi="仿宋" w:eastAsia="仿宋" w:cs="仿宋"/>
                <w:sz w:val="24"/>
              </w:rPr>
            </w:pPr>
          </w:p>
          <w:p w14:paraId="6CA8DFC6">
            <w:pPr>
              <w:spacing w:line="360" w:lineRule="auto"/>
              <w:jc w:val="left"/>
              <w:rPr>
                <w:rFonts w:ascii="仿宋" w:hAnsi="仿宋" w:eastAsia="仿宋" w:cs="仿宋"/>
                <w:sz w:val="24"/>
              </w:rPr>
            </w:pPr>
          </w:p>
        </w:tc>
        <w:tc>
          <w:tcPr>
            <w:tcW w:w="2808" w:type="dxa"/>
            <w:vAlign w:val="top"/>
          </w:tcPr>
          <w:p w14:paraId="259D9775">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29C825F8">
            <w:pPr>
              <w:spacing w:line="360" w:lineRule="auto"/>
              <w:jc w:val="left"/>
              <w:rPr>
                <w:rFonts w:ascii="仿宋" w:hAnsi="仿宋" w:eastAsia="仿宋" w:cs="仿宋"/>
                <w:sz w:val="24"/>
              </w:rPr>
            </w:pPr>
          </w:p>
          <w:p w14:paraId="102DA115">
            <w:pPr>
              <w:spacing w:line="360" w:lineRule="auto"/>
              <w:jc w:val="left"/>
              <w:rPr>
                <w:rFonts w:ascii="仿宋" w:hAnsi="仿宋" w:eastAsia="仿宋" w:cs="仿宋"/>
                <w:sz w:val="24"/>
              </w:rPr>
            </w:pPr>
          </w:p>
          <w:p w14:paraId="41896F22">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580" w:type="dxa"/>
            <w:vAlign w:val="top"/>
          </w:tcPr>
          <w:p w14:paraId="50793049">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543E3E8E">
            <w:pPr>
              <w:spacing w:line="360" w:lineRule="auto"/>
              <w:jc w:val="left"/>
              <w:rPr>
                <w:rFonts w:ascii="仿宋" w:hAnsi="仿宋" w:eastAsia="仿宋" w:cs="仿宋"/>
                <w:sz w:val="24"/>
              </w:rPr>
            </w:pPr>
          </w:p>
          <w:p w14:paraId="72F2A5D9">
            <w:pPr>
              <w:spacing w:line="360" w:lineRule="auto"/>
              <w:jc w:val="left"/>
              <w:rPr>
                <w:rFonts w:ascii="仿宋" w:hAnsi="仿宋" w:eastAsia="仿宋" w:cs="仿宋"/>
                <w:sz w:val="24"/>
              </w:rPr>
            </w:pPr>
          </w:p>
          <w:p w14:paraId="61D174FC">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383" w:type="dxa"/>
            <w:vAlign w:val="top"/>
          </w:tcPr>
          <w:p w14:paraId="7D4EF457">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前期课程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通过暴露出来的问题启发学习应有认真严谨的学习态度，努力培养伦理道德思想和理念。</w:t>
            </w:r>
          </w:p>
        </w:tc>
      </w:tr>
      <w:tr w14:paraId="1D8A1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6F3D429">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531EE5E3">
            <w:pPr>
              <w:spacing w:line="360" w:lineRule="auto"/>
              <w:jc w:val="left"/>
              <w:rPr>
                <w:rFonts w:ascii="仿宋" w:hAnsi="仿宋" w:eastAsia="仿宋" w:cs="仿宋"/>
                <w:sz w:val="24"/>
              </w:rPr>
            </w:pPr>
          </w:p>
        </w:tc>
        <w:tc>
          <w:tcPr>
            <w:tcW w:w="2808" w:type="dxa"/>
            <w:vAlign w:val="top"/>
          </w:tcPr>
          <w:p w14:paraId="636609C2">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580" w:type="dxa"/>
            <w:vAlign w:val="top"/>
          </w:tcPr>
          <w:p w14:paraId="5C913E94">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383" w:type="dxa"/>
            <w:vAlign w:val="top"/>
          </w:tcPr>
          <w:p w14:paraId="4D10EE12">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60B09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4C05B6F">
            <w:pPr>
              <w:spacing w:line="360" w:lineRule="auto"/>
              <w:jc w:val="left"/>
              <w:rPr>
                <w:rFonts w:ascii="仿宋" w:hAnsi="仿宋" w:eastAsia="仿宋" w:cs="仿宋"/>
                <w:sz w:val="24"/>
              </w:rPr>
            </w:pPr>
            <w:r>
              <w:rPr>
                <w:rFonts w:hint="eastAsia" w:ascii="仿宋" w:hAnsi="仿宋" w:eastAsia="仿宋" w:cs="仿宋"/>
                <w:sz w:val="24"/>
              </w:rPr>
              <w:t>决策概述</w:t>
            </w:r>
          </w:p>
          <w:p w14:paraId="7280847E">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73150" cy="527050"/>
                  <wp:effectExtent l="0" t="0" r="12700" b="6350"/>
                  <wp:docPr id="94" name="图片 66" descr="1629903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6" descr="1629903634(1)"/>
                          <pic:cNvPicPr>
                            <a:picLocks noChangeAspect="1"/>
                          </pic:cNvPicPr>
                        </pic:nvPicPr>
                        <pic:blipFill>
                          <a:blip r:embed="rId16"/>
                          <a:stretch>
                            <a:fillRect/>
                          </a:stretch>
                        </pic:blipFill>
                        <pic:spPr>
                          <a:xfrm>
                            <a:off x="0" y="0"/>
                            <a:ext cx="1073150" cy="527050"/>
                          </a:xfrm>
                          <a:prstGeom prst="rect">
                            <a:avLst/>
                          </a:prstGeom>
                          <a:noFill/>
                          <a:ln>
                            <a:noFill/>
                          </a:ln>
                        </pic:spPr>
                      </pic:pic>
                    </a:graphicData>
                  </a:graphic>
                </wp:inline>
              </w:drawing>
            </w:r>
          </w:p>
        </w:tc>
        <w:tc>
          <w:tcPr>
            <w:tcW w:w="2808" w:type="dxa"/>
            <w:vAlign w:val="top"/>
          </w:tcPr>
          <w:p w14:paraId="0581C140">
            <w:pPr>
              <w:numPr>
                <w:ilvl w:val="0"/>
                <w:numId w:val="1"/>
              </w:numPr>
              <w:spacing w:line="360" w:lineRule="auto"/>
              <w:rPr>
                <w:rFonts w:ascii="仿宋" w:hAnsi="仿宋" w:eastAsia="仿宋" w:cs="仿宋"/>
                <w:sz w:val="24"/>
              </w:rPr>
            </w:pPr>
            <w:r>
              <w:rPr>
                <w:rFonts w:hint="eastAsia" w:ascii="仿宋" w:hAnsi="仿宋" w:eastAsia="仿宋" w:cs="仿宋"/>
                <w:sz w:val="24"/>
              </w:rPr>
              <w:t>讲解护理伦理决策定义及所面临的难题。</w:t>
            </w:r>
          </w:p>
        </w:tc>
        <w:tc>
          <w:tcPr>
            <w:tcW w:w="2580" w:type="dxa"/>
            <w:vAlign w:val="top"/>
          </w:tcPr>
          <w:p w14:paraId="5DDF5C09">
            <w:pPr>
              <w:spacing w:line="360" w:lineRule="auto"/>
              <w:jc w:val="left"/>
              <w:rPr>
                <w:rFonts w:ascii="仿宋" w:hAnsi="仿宋" w:eastAsia="仿宋" w:cs="仿宋"/>
                <w:sz w:val="24"/>
              </w:rPr>
            </w:pPr>
            <w:r>
              <w:rPr>
                <w:rFonts w:hint="eastAsia" w:ascii="仿宋" w:hAnsi="仿宋" w:eastAsia="仿宋" w:cs="仿宋"/>
                <w:sz w:val="24"/>
              </w:rPr>
              <w:t>1.聆听、思考</w:t>
            </w:r>
          </w:p>
          <w:p w14:paraId="5CDAB06A">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3383" w:type="dxa"/>
            <w:vAlign w:val="top"/>
          </w:tcPr>
          <w:p w14:paraId="4CAEC8F8">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“含义”-“类型”-“面临难题”</w:t>
            </w:r>
            <w:r>
              <w:rPr>
                <w:rFonts w:hint="eastAsia" w:ascii="仿宋" w:hAnsi="仿宋" w:eastAsia="仿宋" w:cs="仿宋"/>
                <w:sz w:val="24"/>
              </w:rPr>
              <w:t>的思路讲授护理伦理决策概述。</w:t>
            </w:r>
          </w:p>
          <w:p w14:paraId="6860B299">
            <w:pPr>
              <w:spacing w:line="360" w:lineRule="auto"/>
              <w:rPr>
                <w:rFonts w:ascii="仿宋" w:hAnsi="仿宋" w:eastAsia="仿宋" w:cs="仿宋"/>
                <w:sz w:val="24"/>
              </w:rPr>
            </w:pPr>
            <w:r>
              <w:rPr>
                <w:rFonts w:hint="eastAsia" w:ascii="仿宋" w:hAnsi="仿宋" w:eastAsia="仿宋" w:cs="仿宋"/>
                <w:sz w:val="24"/>
              </w:rPr>
              <w:t>护理人员应具备的能力基本内容的讲解</w:t>
            </w:r>
            <w:r>
              <w:rPr>
                <w:rFonts w:hint="eastAsia" w:ascii="仿宋" w:hAnsi="仿宋" w:eastAsia="仿宋" w:cs="仿宋"/>
                <w:b/>
                <w:bCs/>
                <w:color w:val="FF0000"/>
                <w:sz w:val="24"/>
              </w:rPr>
              <w:t>临危不乱、敬畏生命。</w:t>
            </w:r>
          </w:p>
        </w:tc>
      </w:tr>
      <w:tr w14:paraId="738AB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176CECB">
            <w:pPr>
              <w:spacing w:line="360" w:lineRule="auto"/>
              <w:jc w:val="left"/>
              <w:rPr>
                <w:rFonts w:ascii="仿宋" w:hAnsi="仿宋" w:eastAsia="仿宋" w:cs="仿宋"/>
                <w:sz w:val="24"/>
              </w:rPr>
            </w:pPr>
            <w:r>
              <w:rPr>
                <w:rFonts w:hint="eastAsia" w:ascii="仿宋" w:hAnsi="仿宋" w:eastAsia="仿宋" w:cs="仿宋"/>
                <w:sz w:val="24"/>
              </w:rPr>
              <w:t>决策过程</w:t>
            </w:r>
          </w:p>
          <w:p w14:paraId="75E83150">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73150" cy="679450"/>
                  <wp:effectExtent l="0" t="0" r="12700" b="6350"/>
                  <wp:docPr id="96" name="图片 67" descr="1629903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7" descr="1629903710(1)"/>
                          <pic:cNvPicPr>
                            <a:picLocks noChangeAspect="1"/>
                          </pic:cNvPicPr>
                        </pic:nvPicPr>
                        <pic:blipFill>
                          <a:blip r:embed="rId17"/>
                          <a:stretch>
                            <a:fillRect/>
                          </a:stretch>
                        </pic:blipFill>
                        <pic:spPr>
                          <a:xfrm>
                            <a:off x="0" y="0"/>
                            <a:ext cx="1073150" cy="679450"/>
                          </a:xfrm>
                          <a:prstGeom prst="rect">
                            <a:avLst/>
                          </a:prstGeom>
                          <a:noFill/>
                          <a:ln>
                            <a:noFill/>
                          </a:ln>
                        </pic:spPr>
                      </pic:pic>
                    </a:graphicData>
                  </a:graphic>
                </wp:inline>
              </w:drawing>
            </w:r>
          </w:p>
        </w:tc>
        <w:tc>
          <w:tcPr>
            <w:tcW w:w="2808" w:type="dxa"/>
            <w:vAlign w:val="top"/>
          </w:tcPr>
          <w:p w14:paraId="3420C7E3">
            <w:pPr>
              <w:spacing w:line="360" w:lineRule="auto"/>
              <w:rPr>
                <w:rFonts w:ascii="仿宋" w:hAnsi="仿宋" w:eastAsia="仿宋" w:cs="仿宋"/>
                <w:sz w:val="24"/>
              </w:rPr>
            </w:pPr>
            <w:r>
              <w:rPr>
                <w:rFonts w:hint="eastAsia" w:ascii="仿宋" w:hAnsi="仿宋" w:eastAsia="仿宋" w:cs="仿宋"/>
                <w:sz w:val="24"/>
              </w:rPr>
              <w:t>1.提供学生护理伦理决策过程的案例，让学生分析应护理伦理决策的过程。</w:t>
            </w:r>
          </w:p>
          <w:p w14:paraId="68A11A17">
            <w:pPr>
              <w:spacing w:line="360" w:lineRule="auto"/>
              <w:rPr>
                <w:rFonts w:ascii="仿宋" w:hAnsi="仿宋" w:eastAsia="仿宋" w:cs="仿宋"/>
                <w:sz w:val="24"/>
              </w:rPr>
            </w:pPr>
            <w:r>
              <w:rPr>
                <w:rFonts w:hint="eastAsia" w:ascii="仿宋" w:hAnsi="仿宋" w:eastAsia="仿宋" w:cs="仿宋"/>
                <w:sz w:val="24"/>
              </w:rPr>
              <w:t>2.结合学生分析结果及案例归纳讲解护理伦理决策过程。</w:t>
            </w:r>
          </w:p>
          <w:p w14:paraId="0772E144">
            <w:pPr>
              <w:spacing w:line="360" w:lineRule="auto"/>
              <w:rPr>
                <w:rFonts w:ascii="仿宋" w:hAnsi="仿宋" w:eastAsia="仿宋" w:cs="仿宋"/>
                <w:sz w:val="24"/>
              </w:rPr>
            </w:pPr>
          </w:p>
        </w:tc>
        <w:tc>
          <w:tcPr>
            <w:tcW w:w="2580" w:type="dxa"/>
            <w:vAlign w:val="top"/>
          </w:tcPr>
          <w:p w14:paraId="5D38994F">
            <w:pPr>
              <w:spacing w:line="360" w:lineRule="auto"/>
              <w:jc w:val="left"/>
              <w:rPr>
                <w:rFonts w:ascii="仿宋" w:hAnsi="仿宋" w:eastAsia="仿宋" w:cs="仿宋"/>
                <w:sz w:val="24"/>
              </w:rPr>
            </w:pPr>
            <w:r>
              <w:rPr>
                <w:rFonts w:hint="eastAsia" w:ascii="仿宋" w:hAnsi="仿宋" w:eastAsia="仿宋" w:cs="仿宋"/>
                <w:sz w:val="24"/>
              </w:rPr>
              <w:t>1.案例分析、小组讨论</w:t>
            </w:r>
          </w:p>
          <w:p w14:paraId="5F5E60F6">
            <w:pPr>
              <w:spacing w:line="360" w:lineRule="auto"/>
              <w:jc w:val="left"/>
              <w:rPr>
                <w:rFonts w:ascii="仿宋" w:hAnsi="仿宋" w:eastAsia="仿宋" w:cs="仿宋"/>
                <w:sz w:val="24"/>
              </w:rPr>
            </w:pPr>
          </w:p>
          <w:p w14:paraId="42BAA179">
            <w:pPr>
              <w:spacing w:line="360" w:lineRule="auto"/>
              <w:jc w:val="left"/>
              <w:rPr>
                <w:rFonts w:ascii="仿宋" w:hAnsi="仿宋" w:eastAsia="仿宋" w:cs="仿宋"/>
                <w:sz w:val="24"/>
              </w:rPr>
            </w:pPr>
          </w:p>
          <w:p w14:paraId="243E6673">
            <w:pPr>
              <w:numPr>
                <w:numId w:val="0"/>
              </w:numPr>
              <w:spacing w:line="360" w:lineRule="auto"/>
              <w:jc w:val="left"/>
              <w:rPr>
                <w:rFonts w:hint="eastAsia" w:ascii="仿宋" w:hAnsi="仿宋" w:eastAsia="仿宋" w:cs="仿宋"/>
                <w:sz w:val="24"/>
                <w:lang w:val="en-US" w:eastAsia="zh-CN"/>
              </w:rPr>
            </w:pPr>
          </w:p>
          <w:p w14:paraId="0CD16C36">
            <w:pPr>
              <w:numPr>
                <w:numId w:val="0"/>
              </w:numPr>
              <w:spacing w:line="360" w:lineRule="auto"/>
              <w:jc w:val="left"/>
              <w:rPr>
                <w:rFonts w:ascii="仿宋" w:hAnsi="仿宋" w:eastAsia="仿宋" w:cs="仿宋"/>
                <w:sz w:val="24"/>
              </w:rPr>
            </w:pPr>
            <w:r>
              <w:rPr>
                <w:rFonts w:hint="eastAsia" w:ascii="仿宋" w:hAnsi="仿宋" w:eastAsia="仿宋" w:cs="仿宋"/>
                <w:sz w:val="24"/>
                <w:lang w:val="en-US" w:eastAsia="zh-CN"/>
              </w:rPr>
              <w:t>2.</w:t>
            </w:r>
            <w:r>
              <w:rPr>
                <w:rFonts w:hint="eastAsia" w:ascii="仿宋" w:hAnsi="仿宋" w:eastAsia="仿宋" w:cs="仿宋"/>
                <w:sz w:val="24"/>
              </w:rPr>
              <w:t>思考、启发回答</w:t>
            </w:r>
          </w:p>
          <w:p w14:paraId="59311182">
            <w:pPr>
              <w:spacing w:line="360" w:lineRule="auto"/>
              <w:jc w:val="left"/>
              <w:rPr>
                <w:rFonts w:ascii="仿宋" w:hAnsi="仿宋" w:eastAsia="仿宋" w:cs="仿宋"/>
                <w:sz w:val="24"/>
              </w:rPr>
            </w:pPr>
            <w:r>
              <w:rPr>
                <w:rFonts w:hint="eastAsia" w:ascii="仿宋" w:hAnsi="仿宋" w:eastAsia="仿宋" w:cs="仿宋"/>
                <w:sz w:val="24"/>
              </w:rPr>
              <w:t>聆听、知识内化</w:t>
            </w:r>
          </w:p>
        </w:tc>
        <w:tc>
          <w:tcPr>
            <w:tcW w:w="3383" w:type="dxa"/>
            <w:vAlign w:val="top"/>
          </w:tcPr>
          <w:p w14:paraId="4A79836A">
            <w:pPr>
              <w:spacing w:line="360" w:lineRule="auto"/>
              <w:rPr>
                <w:rFonts w:ascii="仿宋" w:hAnsi="仿宋" w:eastAsia="仿宋" w:cs="仿宋"/>
                <w:b/>
                <w:bCs/>
                <w:color w:val="FF0000"/>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32B35585">
            <w:pPr>
              <w:spacing w:line="360" w:lineRule="auto"/>
              <w:rPr>
                <w:rFonts w:ascii="仿宋" w:hAnsi="仿宋" w:eastAsia="仿宋" w:cs="仿宋"/>
                <w:b/>
                <w:bCs/>
                <w:color w:val="FF0000"/>
                <w:sz w:val="24"/>
              </w:rPr>
            </w:pPr>
          </w:p>
          <w:p w14:paraId="24E4AB41">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结合学生案例分析结果、教师归纳讲解使知识体系更完整，也易于学生理解和掌握。通过护理伦理决策过程</w:t>
            </w:r>
            <w:r>
              <w:rPr>
                <w:rFonts w:hint="eastAsia" w:ascii="仿宋" w:hAnsi="仿宋" w:eastAsia="仿宋" w:cs="仿宋"/>
                <w:b/>
                <w:bCs/>
                <w:color w:val="FF0000"/>
                <w:sz w:val="24"/>
              </w:rPr>
              <w:t>启发学生科学人文的精神。</w:t>
            </w:r>
          </w:p>
        </w:tc>
      </w:tr>
      <w:tr w14:paraId="6E16F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A7FD2D0">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54C73ADF">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641350"/>
                  <wp:effectExtent l="0" t="0" r="6350" b="6350"/>
                  <wp:docPr id="97" name="图片 68" descr="1629903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8" descr="1629903853(1)"/>
                          <pic:cNvPicPr>
                            <a:picLocks noChangeAspect="1"/>
                          </pic:cNvPicPr>
                        </pic:nvPicPr>
                        <pic:blipFill>
                          <a:blip r:embed="rId18"/>
                          <a:stretch>
                            <a:fillRect/>
                          </a:stretch>
                        </pic:blipFill>
                        <pic:spPr>
                          <a:xfrm>
                            <a:off x="0" y="0"/>
                            <a:ext cx="1041400" cy="641350"/>
                          </a:xfrm>
                          <a:prstGeom prst="rect">
                            <a:avLst/>
                          </a:prstGeom>
                          <a:noFill/>
                          <a:ln>
                            <a:noFill/>
                          </a:ln>
                        </pic:spPr>
                      </pic:pic>
                    </a:graphicData>
                  </a:graphic>
                </wp:inline>
              </w:drawing>
            </w:r>
          </w:p>
        </w:tc>
        <w:tc>
          <w:tcPr>
            <w:tcW w:w="2808" w:type="dxa"/>
            <w:vAlign w:val="top"/>
          </w:tcPr>
          <w:p w14:paraId="7A2A5786">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580" w:type="dxa"/>
            <w:vAlign w:val="top"/>
          </w:tcPr>
          <w:p w14:paraId="456C99B4">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72516920">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39C28AFC">
            <w:pPr>
              <w:spacing w:line="360" w:lineRule="auto"/>
              <w:rPr>
                <w:rFonts w:ascii="仿宋" w:hAnsi="仿宋" w:eastAsia="仿宋" w:cs="仿宋"/>
                <w:sz w:val="24"/>
              </w:rPr>
            </w:pPr>
          </w:p>
        </w:tc>
        <w:tc>
          <w:tcPr>
            <w:tcW w:w="3383" w:type="dxa"/>
            <w:vAlign w:val="top"/>
          </w:tcPr>
          <w:p w14:paraId="775AB677">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47027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282AFB2">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6A9AE859">
            <w:pPr>
              <w:spacing w:line="360" w:lineRule="auto"/>
              <w:jc w:val="left"/>
              <w:rPr>
                <w:rFonts w:ascii="仿宋" w:hAnsi="仿宋" w:eastAsia="仿宋" w:cs="仿宋"/>
                <w:sz w:val="24"/>
              </w:rPr>
            </w:pPr>
          </w:p>
        </w:tc>
        <w:tc>
          <w:tcPr>
            <w:tcW w:w="2808" w:type="dxa"/>
            <w:vAlign w:val="top"/>
          </w:tcPr>
          <w:p w14:paraId="53D09060">
            <w:pPr>
              <w:numPr>
                <w:ilvl w:val="0"/>
                <w:numId w:val="2"/>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033F8EE4">
            <w:pPr>
              <w:numPr>
                <w:ilvl w:val="0"/>
                <w:numId w:val="2"/>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580" w:type="dxa"/>
            <w:vAlign w:val="top"/>
          </w:tcPr>
          <w:p w14:paraId="38597667">
            <w:pPr>
              <w:numPr>
                <w:ilvl w:val="0"/>
                <w:numId w:val="3"/>
              </w:numPr>
              <w:spacing w:line="360" w:lineRule="auto"/>
              <w:rPr>
                <w:rFonts w:ascii="仿宋" w:hAnsi="仿宋" w:eastAsia="仿宋" w:cs="仿宋"/>
                <w:sz w:val="24"/>
              </w:rPr>
            </w:pPr>
            <w:r>
              <w:rPr>
                <w:rFonts w:hint="eastAsia" w:ascii="仿宋" w:hAnsi="仿宋" w:eastAsia="仿宋" w:cs="仿宋"/>
                <w:sz w:val="24"/>
              </w:rPr>
              <w:t>做课后练习题</w:t>
            </w:r>
          </w:p>
          <w:p w14:paraId="5B202263">
            <w:pPr>
              <w:spacing w:line="360" w:lineRule="auto"/>
              <w:rPr>
                <w:rFonts w:ascii="仿宋" w:hAnsi="仿宋" w:eastAsia="仿宋" w:cs="仿宋"/>
                <w:sz w:val="24"/>
              </w:rPr>
            </w:pPr>
          </w:p>
          <w:p w14:paraId="7AD4200E">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36DEAF19">
            <w:pPr>
              <w:spacing w:line="360" w:lineRule="auto"/>
              <w:rPr>
                <w:rFonts w:ascii="仿宋" w:hAnsi="仿宋" w:eastAsia="仿宋" w:cs="仿宋"/>
                <w:sz w:val="24"/>
              </w:rPr>
            </w:pPr>
          </w:p>
        </w:tc>
        <w:tc>
          <w:tcPr>
            <w:tcW w:w="3383" w:type="dxa"/>
            <w:vAlign w:val="top"/>
          </w:tcPr>
          <w:p w14:paraId="745048B7">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通过课后作业、查阅资源，加强对知识的巩固，案例分析资源可提升知识运用的能力，培养学生</w:t>
            </w:r>
            <w:r>
              <w:rPr>
                <w:rFonts w:hint="eastAsia" w:ascii="仿宋" w:hAnsi="仿宋" w:eastAsia="仿宋" w:cs="仿宋"/>
                <w:b/>
                <w:bCs/>
                <w:color w:val="FF0000"/>
                <w:sz w:val="24"/>
              </w:rPr>
              <w:t>学会护理伦理决策程序及解决伦理上的一般问题。</w:t>
            </w:r>
          </w:p>
        </w:tc>
      </w:tr>
      <w:tr w14:paraId="043C0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4D0403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7D77C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0D37D844">
            <w:pPr>
              <w:spacing w:line="360" w:lineRule="auto"/>
              <w:jc w:val="center"/>
              <w:rPr>
                <w:rFonts w:ascii="仿宋" w:hAnsi="仿宋" w:eastAsia="仿宋" w:cs="仿宋"/>
                <w:b/>
                <w:sz w:val="28"/>
                <w:szCs w:val="28"/>
              </w:rPr>
            </w:pPr>
            <w:bookmarkStart w:id="1" w:name="_GoBack" w:colFirst="0" w:colLast="3"/>
            <w:r>
              <w:rPr>
                <w:rFonts w:hint="eastAsia" w:ascii="仿宋" w:hAnsi="仿宋" w:eastAsia="仿宋" w:cs="仿宋"/>
                <w:b/>
                <w:bCs/>
                <w:sz w:val="28"/>
                <w:szCs w:val="28"/>
              </w:rPr>
              <w:t>课后任务</w:t>
            </w:r>
          </w:p>
        </w:tc>
        <w:tc>
          <w:tcPr>
            <w:tcW w:w="2808" w:type="dxa"/>
            <w:shd w:val="clear" w:color="auto" w:fill="DEEAF6"/>
            <w:vAlign w:val="top"/>
          </w:tcPr>
          <w:p w14:paraId="3270694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580" w:type="dxa"/>
            <w:shd w:val="clear" w:color="auto" w:fill="DEEAF6"/>
            <w:vAlign w:val="top"/>
          </w:tcPr>
          <w:p w14:paraId="1D842BC1">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383" w:type="dxa"/>
            <w:shd w:val="clear" w:color="auto" w:fill="DEEAF6"/>
            <w:vAlign w:val="top"/>
          </w:tcPr>
          <w:p w14:paraId="728F45DB">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bookmarkEnd w:id="1"/>
      <w:tr w14:paraId="322E3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7D94BE6">
            <w:pPr>
              <w:spacing w:line="360" w:lineRule="auto"/>
              <w:rPr>
                <w:rFonts w:ascii="仿宋" w:hAnsi="仿宋" w:eastAsia="仿宋" w:cs="仿宋"/>
                <w:sz w:val="24"/>
              </w:rPr>
            </w:pPr>
            <w:r>
              <w:rPr>
                <w:rFonts w:hint="eastAsia" w:ascii="仿宋" w:hAnsi="仿宋" w:eastAsia="仿宋" w:cs="仿宋"/>
                <w:sz w:val="24"/>
              </w:rPr>
              <w:t>1.完成课后作业</w:t>
            </w:r>
          </w:p>
        </w:tc>
        <w:tc>
          <w:tcPr>
            <w:tcW w:w="2808" w:type="dxa"/>
            <w:vAlign w:val="top"/>
          </w:tcPr>
          <w:p w14:paraId="6641B029">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580" w:type="dxa"/>
            <w:vAlign w:val="top"/>
          </w:tcPr>
          <w:p w14:paraId="01100D9C">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383" w:type="dxa"/>
            <w:vAlign w:val="top"/>
          </w:tcPr>
          <w:p w14:paraId="5FE6BEAF">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1845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1C4E447">
            <w:pPr>
              <w:spacing w:line="360" w:lineRule="auto"/>
              <w:rPr>
                <w:rFonts w:ascii="仿宋" w:hAnsi="仿宋" w:eastAsia="仿宋" w:cs="仿宋"/>
                <w:sz w:val="24"/>
              </w:rPr>
            </w:pPr>
            <w:r>
              <w:rPr>
                <w:rFonts w:hint="eastAsia" w:ascii="仿宋" w:hAnsi="仿宋" w:eastAsia="仿宋" w:cs="仿宋"/>
                <w:sz w:val="24"/>
              </w:rPr>
              <w:t>2.线上学习</w:t>
            </w:r>
          </w:p>
        </w:tc>
        <w:tc>
          <w:tcPr>
            <w:tcW w:w="2808" w:type="dxa"/>
            <w:vAlign w:val="top"/>
          </w:tcPr>
          <w:p w14:paraId="6976426B">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580" w:type="dxa"/>
            <w:vAlign w:val="top"/>
          </w:tcPr>
          <w:p w14:paraId="78DEFFC6">
            <w:pPr>
              <w:spacing w:line="360" w:lineRule="auto"/>
              <w:rPr>
                <w:rFonts w:hint="eastAsia"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383" w:type="dxa"/>
            <w:vAlign w:val="top"/>
          </w:tcPr>
          <w:p w14:paraId="1E074744">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756A4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88019C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5D066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1D4AE380">
            <w:pPr>
              <w:spacing w:line="360" w:lineRule="auto"/>
              <w:rPr>
                <w:rFonts w:ascii="仿宋" w:hAnsi="仿宋" w:eastAsia="仿宋" w:cs="仿宋"/>
                <w:b/>
                <w:bCs/>
                <w:sz w:val="28"/>
                <w:szCs w:val="28"/>
              </w:rPr>
            </w:pPr>
          </w:p>
          <w:p w14:paraId="26827D96">
            <w:pPr>
              <w:spacing w:line="360" w:lineRule="auto"/>
              <w:rPr>
                <w:rFonts w:ascii="仿宋" w:hAnsi="仿宋" w:eastAsia="仿宋" w:cs="仿宋"/>
                <w:b/>
                <w:bCs/>
                <w:sz w:val="28"/>
                <w:szCs w:val="28"/>
              </w:rPr>
            </w:pPr>
          </w:p>
          <w:p w14:paraId="5AF1EED6">
            <w:pPr>
              <w:spacing w:line="360" w:lineRule="auto"/>
              <w:rPr>
                <w:rFonts w:ascii="仿宋" w:hAnsi="仿宋" w:eastAsia="仿宋" w:cs="仿宋"/>
                <w:b/>
                <w:bCs/>
                <w:sz w:val="28"/>
                <w:szCs w:val="28"/>
              </w:rPr>
            </w:pPr>
          </w:p>
          <w:p w14:paraId="38F61F3F">
            <w:pPr>
              <w:spacing w:line="360" w:lineRule="auto"/>
              <w:rPr>
                <w:rFonts w:ascii="仿宋" w:hAnsi="仿宋" w:eastAsia="仿宋" w:cs="仿宋"/>
                <w:b/>
                <w:bCs/>
                <w:sz w:val="28"/>
                <w:szCs w:val="28"/>
              </w:rPr>
            </w:pPr>
          </w:p>
          <w:p w14:paraId="01905281">
            <w:pPr>
              <w:spacing w:line="360" w:lineRule="auto"/>
              <w:rPr>
                <w:rFonts w:ascii="仿宋" w:hAnsi="仿宋" w:eastAsia="仿宋" w:cs="仿宋"/>
                <w:b/>
                <w:bCs/>
                <w:sz w:val="28"/>
                <w:szCs w:val="28"/>
              </w:rPr>
            </w:pPr>
          </w:p>
          <w:p w14:paraId="7EF7B70D">
            <w:pPr>
              <w:spacing w:line="360" w:lineRule="auto"/>
              <w:rPr>
                <w:rFonts w:ascii="仿宋" w:hAnsi="仿宋" w:eastAsia="仿宋" w:cs="仿宋"/>
                <w:b/>
                <w:bCs/>
                <w:sz w:val="28"/>
                <w:szCs w:val="28"/>
              </w:rPr>
            </w:pPr>
          </w:p>
        </w:tc>
      </w:tr>
    </w:tbl>
    <w:p w14:paraId="0F27E589">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BF4D7BC4-54A3-427C-8A2E-68CFA7E98ECC}"/>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7F4DD541-2DC9-4BA8-BDD4-EC5FC170CA2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16962E9F"/>
    <w:multiLevelType w:val="singleLevel"/>
    <w:tmpl w:val="16962E9F"/>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D46B7"/>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185587"/>
    <w:rsid w:val="184F0EEE"/>
    <w:rsid w:val="18B879FE"/>
    <w:rsid w:val="1FB84519"/>
    <w:rsid w:val="2003061B"/>
    <w:rsid w:val="20F13C9B"/>
    <w:rsid w:val="238347DF"/>
    <w:rsid w:val="24B477DD"/>
    <w:rsid w:val="259557B7"/>
    <w:rsid w:val="278141AB"/>
    <w:rsid w:val="28B578A7"/>
    <w:rsid w:val="29C410CB"/>
    <w:rsid w:val="2B6366C1"/>
    <w:rsid w:val="2B937D0B"/>
    <w:rsid w:val="2C522110"/>
    <w:rsid w:val="309F1652"/>
    <w:rsid w:val="322A12C5"/>
    <w:rsid w:val="34AD60CD"/>
    <w:rsid w:val="34B67F89"/>
    <w:rsid w:val="3667350A"/>
    <w:rsid w:val="368D542E"/>
    <w:rsid w:val="369260AD"/>
    <w:rsid w:val="36C108E2"/>
    <w:rsid w:val="388B134B"/>
    <w:rsid w:val="399B1010"/>
    <w:rsid w:val="3C8D6DE4"/>
    <w:rsid w:val="436C72A2"/>
    <w:rsid w:val="43CD7F64"/>
    <w:rsid w:val="44B33A23"/>
    <w:rsid w:val="45C91BBA"/>
    <w:rsid w:val="48847404"/>
    <w:rsid w:val="49B62C9D"/>
    <w:rsid w:val="49F8701E"/>
    <w:rsid w:val="4C7F0E23"/>
    <w:rsid w:val="4DE374C2"/>
    <w:rsid w:val="500B2D00"/>
    <w:rsid w:val="528F117E"/>
    <w:rsid w:val="530C5752"/>
    <w:rsid w:val="533C039D"/>
    <w:rsid w:val="53A000C2"/>
    <w:rsid w:val="582E68E8"/>
    <w:rsid w:val="5A7C6694"/>
    <w:rsid w:val="5C2F70CC"/>
    <w:rsid w:val="5EE27322"/>
    <w:rsid w:val="5F076D88"/>
    <w:rsid w:val="5FFC3909"/>
    <w:rsid w:val="600E33E1"/>
    <w:rsid w:val="622A303A"/>
    <w:rsid w:val="65201B06"/>
    <w:rsid w:val="6B171288"/>
    <w:rsid w:val="701B1D7B"/>
    <w:rsid w:val="7058635C"/>
    <w:rsid w:val="71C254BD"/>
    <w:rsid w:val="723010AC"/>
    <w:rsid w:val="724E4FA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2084</Words>
  <Characters>2142</Characters>
  <Lines>1</Lines>
  <Paragraphs>1</Paragraphs>
  <TotalTime>1</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2025-07-24T01:52:18Z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EB244B167A8A48268600D25A6B28DEA3_13</vt:lpwstr>
  </property>
  <property fmtid="{D5CDD505-2E9C-101B-9397-08002B2CF9AE}" pid="4" name="KSOTemplateDocerSaveRecord">
    <vt:lpwstr>eyJoZGlkIjoiOTcxZjc4Y2ViNTBlZDVmZTI3YTAxZGE1NWVmM2E2NDEiLCJ1c2VySWQiOiI0MDMzMDA2MzYifQ==</vt:lpwstr>
  </property>
</Properties>
</file>